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70713" w:rsidRPr="00470713" w:rsidTr="0047071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D305D9C" wp14:editId="595CE24D">
                  <wp:extent cx="571500" cy="762000"/>
                  <wp:effectExtent l="0" t="0" r="0" b="0"/>
                  <wp:docPr id="4" name="Рисунок 4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13" w:rsidRPr="00470713" w:rsidTr="0047071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КАБІНЕТ МІНІСТРІВ УКРАЇНИ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ПОСТАНОВА</w:t>
            </w:r>
          </w:p>
        </w:tc>
      </w:tr>
      <w:tr w:rsidR="00470713" w:rsidRPr="00470713" w:rsidTr="0047071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18 грудня 2018 р. № 1117 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Київ</w:t>
            </w:r>
          </w:p>
        </w:tc>
      </w:tr>
    </w:tbl>
    <w:p w:rsidR="00470713" w:rsidRPr="00470713" w:rsidRDefault="00470713" w:rsidP="0047071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3"/>
      <w:bookmarkEnd w:id="0"/>
      <w:r w:rsidRPr="004707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Деякі питання реалізації державних гарантій медичного обслуговування населення за програмою медичних гарантій для первинної медичної допомоги на 2019 рік</w:t>
      </w:r>
    </w:p>
    <w:p w:rsidR="00470713" w:rsidRPr="00470713" w:rsidRDefault="00470713" w:rsidP="00470713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8"/>
      <w:bookmarkEnd w:id="1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Постановою КМ </w:t>
      </w:r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7" w:anchor="n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26 від 16.01.2019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4"/>
      <w:bookmarkEnd w:id="2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8" w:anchor="n159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пункту 2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розділу IV “Прикінцеві та перехідні положення” Закону України “Про державні фінансові гарантії медичного обслуговування населення” Кабінет Міністрів України </w:t>
      </w:r>
      <w:r w:rsidRPr="0047071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постановляє</w:t>
      </w:r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"/>
      <w:bookmarkEnd w:id="3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9" w:anchor="n11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реалізації державних гарантій медичного обслуговування населення за програмою медичних гарантій для первинної медичної допомоги на 2019 рік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Установити, що договори про медичне обслуговування населення за програмою медичних гарантій для первинної медичної допомоги на 2019 рік з комунальними закладами охорони здоров’я укладаються до 26 грудня 2018 р. та не пізніше 30 листопада 2019 року.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"/>
      <w:bookmarkEnd w:id="5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Внести у </w:t>
      </w:r>
      <w:hyperlink r:id="rId10" w:anchor="n5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додаток 1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 Типової форми договору про медичне обслуговування населення за програмою медичних гарантій, затвердженої постановою Кабінету Міністрів України від 25 квітня 2018 р. № 410 “Деякі питання щодо договорів про медичне обслуговування населення за програмою медичних гарантій” (Офіційний вісник України, 2018 р., № 45, ст. 1570), зміну, що додається.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8"/>
      <w:bookmarkEnd w:id="6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Ця постанова набирає чинності з дня її опублікування та діє до 31 грудня 2019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470713" w:rsidRPr="00470713" w:rsidTr="0047071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9"/>
            <w:bookmarkEnd w:id="7"/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В.ГРОЙСМАН</w:t>
            </w:r>
          </w:p>
        </w:tc>
      </w:tr>
      <w:tr w:rsidR="00470713" w:rsidRPr="00470713" w:rsidTr="004707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470713" w:rsidRPr="00470713" w:rsidRDefault="008069A9" w:rsidP="004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46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470713" w:rsidRPr="00470713" w:rsidTr="0047071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0"/>
            <w:bookmarkEnd w:id="9"/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 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 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18 грудня 2018 р. № 1117</w:t>
            </w:r>
          </w:p>
        </w:tc>
      </w:tr>
    </w:tbl>
    <w:p w:rsidR="00470713" w:rsidRPr="00470713" w:rsidRDefault="00470713" w:rsidP="0047071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1"/>
      <w:bookmarkEnd w:id="10"/>
      <w:r w:rsidRPr="004707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lastRenderedPageBreak/>
        <w:t>ПОРЯДОК </w:t>
      </w:r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707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реалізації державних гарантій медичного обслуговування населення за програмою медичних гарантій для первинної медичної допомоги на 2019 рік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2"/>
      <w:bookmarkEnd w:id="11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Цей Порядок визначає особливості реалізації державних гарантій медичного обслуговування населення за програмою медичних г</w:t>
      </w:r>
      <w:bookmarkStart w:id="12" w:name="_GoBack"/>
      <w:bookmarkEnd w:id="12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арантій для первинної медичної допомоги на 2019 рік, встановлює тарифи та коригувальні коефіцієнти.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3"/>
      <w:bookmarkEnd w:id="13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Дія цього Порядку поширюється на всі заклади охорони здоров’я та фізичних осіб - підприємців, які одержали ліцензію на провадження господарської діяльності з медичної практики та уклали договір про медичне обслуговування населення за програмою медичних гарантій (далі - договір) з НСЗУ, що передбачає надання медичних послуг, пов’язаних з первинною медичною допомогою.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4"/>
      <w:bookmarkEnd w:id="14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 цьому Порядку терміни вживаються в такому значенні: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5"/>
      <w:bookmarkEnd w:id="15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зелений список - перелік пацієнтів, які у встановленому МОЗ порядку подали відповідному надавачу медичних послуг </w:t>
      </w:r>
      <w:hyperlink r:id="rId11" w:anchor="n9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декларації про вибір лікаря, який надає первинну медичну допомогу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(далі - декларації), станом на 1 число відповідного місяця згідно з даними електронної системи охорони здоров’я;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6"/>
      <w:bookmarkEnd w:id="16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ліміт - оптимальний обсяг практики первинної медичної допомоги, встановлений у </w:t>
      </w:r>
      <w:hyperlink r:id="rId12" w:anchor="n19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надання первинної медичної допомоги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затвердженому МОЗ;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7"/>
      <w:bookmarkEnd w:id="17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червоний список - неперсоніфікована умовна кількість пацієнтів комунального закладу охорони здоров’я, розрахована відповідно до </w:t>
      </w:r>
      <w:hyperlink r:id="rId13" w:anchor="n33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пункту 11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Порядку.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8"/>
      <w:bookmarkEnd w:id="18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Інші терміни вживаються у значенні, наведеному в </w:t>
      </w:r>
      <w:hyperlink r:id="rId14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Основах законодавства України про охорону здоров’я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15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Законі України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“Про державні фінансові гарантії медичного обслуговування населення” та інших законодавчих актах.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9"/>
      <w:bookmarkEnd w:id="19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Перелік послуг з медичного обслуговування населення (медичних послуг), пов’язаних з первинною медичною допомогою, оплату надання яких держава гарантує в межах програми медичних гарантій на 2019 рік, визначається </w:t>
      </w:r>
      <w:hyperlink r:id="rId16" w:anchor="n19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Порядком надання первинної медичної допомоги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затвердженим МОЗ.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0"/>
      <w:bookmarkEnd w:id="20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Тарифи за надання медичних послуг, пов’язаних з первинною медичною допомогою, встановлюються як капітаційна ставка за обслуговування одного пацієнта протягом календарного року та становлять: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1"/>
      <w:bookmarkEnd w:id="21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одного пацієнта, включеного до зеленого списку, - 370 гривень на рік;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2"/>
      <w:bookmarkEnd w:id="22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одного пацієнта, включеного до червоного списку (для комунальних закладів охорони здоров’я до 30 червня 2019 р. включно), - 120 гривень на рік.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3"/>
      <w:bookmarkEnd w:id="23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До тарифу на медичне обслуговування одного пацієнта, включеного до зеленого списку, застосовуються (шляхом множення) такі коригувальні коефіцієнти залежно від вікової групи пацієнта: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16"/>
        <w:gridCol w:w="5845"/>
      </w:tblGrid>
      <w:tr w:rsidR="00470713" w:rsidRPr="00470713" w:rsidTr="00470713"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300" w:line="240" w:lineRule="auto"/>
              <w:ind w:left="450" w:right="4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" w:name="n24"/>
            <w:bookmarkEnd w:id="24"/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0 до 5 років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4;</w:t>
            </w:r>
          </w:p>
        </w:tc>
      </w:tr>
      <w:tr w:rsidR="00470713" w:rsidRPr="00470713" w:rsidTr="00470713"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300" w:line="240" w:lineRule="auto"/>
              <w:ind w:left="450" w:right="4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6 до 17 років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2,2;</w:t>
            </w:r>
          </w:p>
        </w:tc>
      </w:tr>
      <w:tr w:rsidR="00470713" w:rsidRPr="00470713" w:rsidTr="00470713"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300" w:line="240" w:lineRule="auto"/>
              <w:ind w:left="450" w:right="4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 18 до 39 років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1;</w:t>
            </w:r>
          </w:p>
        </w:tc>
      </w:tr>
      <w:tr w:rsidR="00470713" w:rsidRPr="00470713" w:rsidTr="00470713">
        <w:trPr>
          <w:trHeight w:val="60"/>
        </w:trPr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300" w:line="240" w:lineRule="auto"/>
              <w:ind w:left="450" w:right="4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40 до 64 років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1,2;</w:t>
            </w:r>
          </w:p>
        </w:tc>
      </w:tr>
      <w:tr w:rsidR="00470713" w:rsidRPr="00470713" w:rsidTr="00470713"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300" w:line="240" w:lineRule="auto"/>
              <w:ind w:left="450" w:right="4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65 років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</w:tr>
    </w:tbl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5"/>
      <w:bookmarkEnd w:id="25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Якщо медичне обслуговування пацієнта, включеного до зеленого списку, здійснюється в населених пунктах, яким надано статус гірських згідно із </w:t>
      </w:r>
      <w:hyperlink r:id="rId17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Законом України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“Про статус гірських населених пунктів в Україні”, до тарифу додатково до коригувальних коефіцієнтів, зазначених у </w:t>
      </w:r>
      <w:hyperlink r:id="rId18" w:anchor="n23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6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Порядку, застосовується (шляхом множення) коригувальний коефіцієнт 1,25. Місце обслуговування пацієнта визначається відповідно до </w:t>
      </w:r>
      <w:hyperlink r:id="rId19" w:anchor="n9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декларації про вибір лікаря, який надає первинну медичну домопогу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6"/>
      <w:bookmarkEnd w:id="26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До тарифу на медичне обслуговування пацієнтів, включених до зеленого списку, які подали </w:t>
      </w:r>
      <w:hyperlink r:id="rId20" w:anchor="n9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декларації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понад ліміт, застосовуються такі коефіцієнти залежно від рівня перевищення ліміту: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94"/>
        <w:gridCol w:w="2045"/>
      </w:tblGrid>
      <w:tr w:rsidR="00470713" w:rsidRPr="00470713" w:rsidTr="00470713">
        <w:tc>
          <w:tcPr>
            <w:tcW w:w="39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n27"/>
            <w:bookmarkEnd w:id="27"/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перевищення ліміту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</w:t>
            </w:r>
          </w:p>
        </w:tc>
      </w:tr>
      <w:tr w:rsidR="00470713" w:rsidRPr="00470713" w:rsidTr="00470713">
        <w:trPr>
          <w:trHeight w:val="585"/>
        </w:trPr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110 відсотків ліміту + 1 </w:t>
            </w:r>
            <w:hyperlink r:id="rId21" w:anchor="n92" w:tgtFrame="_blank" w:history="1">
              <w:r w:rsidRPr="0047071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декларація</w:t>
              </w:r>
            </w:hyperlink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120 відсотків ліміту включно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</w:tr>
      <w:tr w:rsidR="00470713" w:rsidRPr="00470713" w:rsidTr="00470713"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120 відсотків ліміту + 1 </w:t>
            </w:r>
            <w:hyperlink r:id="rId22" w:anchor="n92" w:tgtFrame="_blank" w:history="1">
              <w:r w:rsidRPr="0047071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декларація</w:t>
              </w:r>
            </w:hyperlink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130 відсотків ліміту включно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</w:tr>
      <w:tr w:rsidR="00470713" w:rsidRPr="00470713" w:rsidTr="00470713"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130 відсотків ліміту + 1 </w:t>
            </w:r>
            <w:hyperlink r:id="rId23" w:anchor="n92" w:tgtFrame="_blank" w:history="1">
              <w:r w:rsidRPr="0047071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декларація</w:t>
              </w:r>
            </w:hyperlink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140 відсотків ліміту включно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</w:tr>
      <w:tr w:rsidR="00470713" w:rsidRPr="00470713" w:rsidTr="00470713"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140 відсотків ліміту + 1 </w:t>
            </w:r>
            <w:hyperlink r:id="rId24" w:anchor="n92" w:tgtFrame="_blank" w:history="1">
              <w:r w:rsidRPr="0047071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декларація</w:t>
              </w:r>
            </w:hyperlink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до 150 відсотків ліміту включно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</w:tr>
      <w:tr w:rsidR="00470713" w:rsidRPr="00470713" w:rsidTr="00470713"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150 відсотків ліміту + 1 </w:t>
            </w:r>
            <w:hyperlink r:id="rId25" w:anchor="n92" w:tgtFrame="_blank" w:history="1">
              <w:r w:rsidRPr="0047071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декларація</w:t>
              </w:r>
            </w:hyperlink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 всі наступні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8"/>
      <w:bookmarkEnd w:id="28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Розподіл пацієнтів, включених до зеленого списку, які подали </w:t>
      </w:r>
      <w:hyperlink r:id="rId26" w:anchor="n9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декларації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понад ліміт, за віковими групами, зазначеними у </w:t>
      </w:r>
      <w:hyperlink r:id="rId27" w:anchor="n23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6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Порядку, здійснюється пропорційно до загального розподілу пацієнтів відповідної практики за віковими групами. Особливості застосування коефіцієнтів, зазначених у цьому пункті, у тому числі до тарифів на медичне обслуговування пацієнтів, включених до зеленого списку, які подали декларації про вибір лікаря, який працює за кількома спеціальностями в межах одного або кількох закладів охорони здоров’я, визначаються у договорі.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29"/>
      <w:bookmarkEnd w:id="29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Коригувальні коефіцієнти, зазначені у </w:t>
      </w:r>
      <w:hyperlink r:id="rId28" w:anchor="n23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6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Порядку, не застосовуються до тарифів на надання медичних послуг, пов’язаних з первинною медичною допомогою, пацієнтам, які подали </w:t>
      </w:r>
      <w:hyperlink r:id="rId29" w:anchor="n9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декларації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понад ліміт.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0"/>
      <w:bookmarkEnd w:id="30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Коригувальні коефіцієнти, зазначені у </w:t>
      </w:r>
      <w:hyperlink r:id="rId30" w:anchor="n23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пунктах 6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і </w:t>
      </w:r>
      <w:hyperlink r:id="rId31" w:anchor="n25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7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Порядку, не застосовуються до тарифів на надання медичних послуг, пов’язаних з первинною медичною допомогою пацієнтам, включених до червоного списку.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49"/>
      <w:bookmarkEnd w:id="31"/>
      <w:r w:rsidRPr="00470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10 в редакції Постанови КМ </w:t>
      </w:r>
      <w:hyperlink r:id="rId32" w:anchor="n5" w:tgtFrame="_blank" w:history="1">
        <w:r w:rsidRPr="0047071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26 від 16.01.2019</w:t>
        </w:r>
      </w:hyperlink>
      <w:r w:rsidRPr="00470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33"/>
      <w:bookmarkEnd w:id="32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Кількість пацієнтів, включених до червоного списку, для надавачів медичних послуг, які є комунальними закладами охорони здоров’я, розраховується щомісяця до 30 червня 2019 р. включно за такою формулою:</w:t>
      </w:r>
    </w:p>
    <w:p w:rsidR="00470713" w:rsidRPr="00470713" w:rsidRDefault="00470713" w:rsidP="0047071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34"/>
      <w:bookmarkEnd w:id="33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ЧС = НН </w:t>
      </w:r>
      <w:r w:rsidRPr="00470713">
        <w:rPr>
          <w:rFonts w:ascii="Arial Unicode MS" w:eastAsia="Times New Roman" w:hAnsi="Arial Unicode MS" w:cs="Times New Roman"/>
          <w:b/>
          <w:bCs/>
          <w:color w:val="000000"/>
          <w:sz w:val="24"/>
          <w:szCs w:val="24"/>
          <w:lang w:eastAsia="uk-UA"/>
        </w:rPr>
        <w:t>×</w:t>
      </w:r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(1 - ЗС / СНН),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35"/>
      <w:bookmarkEnd w:id="34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 ЧС - кількість пацієнтів, включених до червоного списку;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36"/>
      <w:bookmarkEnd w:id="35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НН - кількість наявного населення відповідної адміністративно-територіальної одиниці, що обслуговується відповідним комунальним закладом охорони здоров’я, станом на 1 січня 2018 р., визначена у договорі, укладеному з НСЗУ;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7"/>
      <w:bookmarkEnd w:id="36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ЗС - загальна кількість пацієнтів, що подали </w:t>
      </w:r>
      <w:hyperlink r:id="rId33" w:anchor="n92" w:tgtFrame="_blank" w:history="1">
        <w:r w:rsidRPr="0047071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декларації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станом на 1 число відповідного місяця згідно з даними електронної системи охорони здоров’я всім надавачам медичних послуг, які уклали договір з НСЗУ та розташовані в межах однієї адміністративно-територіальної одиниці (міста, району або об’єднаної територіальної громади);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38"/>
      <w:bookmarkEnd w:id="37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СНН - сумарна кількість наявного населення відповідної адміністративно-територіальної одиниці, що обслуговується всіма комунальними закладами охорони здоров’я, які уклали договори з НСЗУ станом на 1 число відповідного місяця та розташовані у межах однієї адміністративно-територіальної одиниці (міста, району або об’єднаної територіальної громади), що розраховується шляхом додавання кількості наявного населення, що визначена у таких договорах.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39"/>
      <w:bookmarkEnd w:id="38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ЧС має значення менше нуля, ЧС становить нуль.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40"/>
      <w:bookmarkEnd w:id="39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Оплата за надані медичні послуги здійснюється відповідно до договору про медичне обслуговування населення за програмою медичних гарантій, укладеного з НСЗУ.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41"/>
      <w:bookmarkEnd w:id="40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 Тарифи, встановлені у </w:t>
      </w:r>
      <w:hyperlink r:id="rId34" w:anchor="n20" w:history="1">
        <w:r w:rsidRPr="0047071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5</w:t>
        </w:r>
      </w:hyperlink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Порядку, включають ставку на оплату медичної послуги та ставку на оплату діагностичних послуг, у тому числі лабораторних досліджень.</w:t>
      </w:r>
    </w:p>
    <w:p w:rsidR="00470713" w:rsidRPr="00470713" w:rsidRDefault="008069A9" w:rsidP="004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47"/>
      <w:bookmarkEnd w:id="41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470713" w:rsidRPr="00470713" w:rsidTr="0047071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n42"/>
            <w:bookmarkEnd w:id="42"/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713" w:rsidRPr="00470713" w:rsidRDefault="00470713" w:rsidP="004707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 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 </w:t>
            </w:r>
            <w:r w:rsidRPr="004707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0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18 грудня 2018 р. № 1117</w:t>
            </w:r>
          </w:p>
        </w:tc>
      </w:tr>
    </w:tbl>
    <w:p w:rsidR="00470713" w:rsidRPr="00470713" w:rsidRDefault="00470713" w:rsidP="0047071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43"/>
      <w:bookmarkEnd w:id="43"/>
      <w:r w:rsidRPr="004707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ЗМІНА, </w:t>
      </w:r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707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що вноситься у </w:t>
      </w:r>
      <w:hyperlink r:id="rId35" w:anchor="n52" w:tgtFrame="_blank" w:history="1">
        <w:r w:rsidRPr="00470713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uk-UA"/>
          </w:rPr>
          <w:t>додаток 1</w:t>
        </w:r>
      </w:hyperlink>
      <w:r w:rsidRPr="004707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до Типової форми договору про медичне обслуговування населення за програмою медичних гарантій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44"/>
      <w:bookmarkEnd w:id="44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7 викласти в такій редакції:</w:t>
      </w:r>
    </w:p>
    <w:p w:rsidR="00470713" w:rsidRPr="00470713" w:rsidRDefault="00470713" w:rsidP="0047071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45"/>
      <w:bookmarkEnd w:id="45"/>
      <w:r w:rsidRPr="004707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“7. У 2018 році та у першому півріччі 2019 року для комунальних закладів охорони здоров’я до суми оплати за звітний період додається 1/12 від добутку кількості пацієнтів із червоного списку станом на 1 число місяця звітного періоду та застосовного тарифу відповідно до Порядку реалізації державних гарантій медичного обслуговування населення за програмою медичних гарантій для первинної медичної допомоги на відповідний рік. На 1 січня 2018 р. кількість наявного населення на території обслуговування надавача (відповідного комунального закладу охорони здоров’я) становила __________ осіб.”.</w:t>
      </w:r>
    </w:p>
    <w:p w:rsidR="00A62C76" w:rsidRDefault="008069A9"/>
    <w:sectPr w:rsidR="00A62C76">
      <w:footerReference w:type="default" r:id="rId3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A9" w:rsidRDefault="008069A9" w:rsidP="00470713">
      <w:pPr>
        <w:spacing w:after="0" w:line="240" w:lineRule="auto"/>
      </w:pPr>
      <w:r>
        <w:separator/>
      </w:r>
    </w:p>
  </w:endnote>
  <w:endnote w:type="continuationSeparator" w:id="0">
    <w:p w:rsidR="008069A9" w:rsidRDefault="008069A9" w:rsidP="0047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737642"/>
      <w:docPartObj>
        <w:docPartGallery w:val="Page Numbers (Bottom of Page)"/>
        <w:docPartUnique/>
      </w:docPartObj>
    </w:sdtPr>
    <w:sdtEndPr/>
    <w:sdtContent>
      <w:p w:rsidR="00470713" w:rsidRDefault="00470713" w:rsidP="002C39D2">
        <w:pPr>
          <w:pStyle w:val="a5"/>
          <w:ind w:left="4536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D2" w:rsidRPr="002C39D2">
          <w:rPr>
            <w:noProof/>
            <w:lang w:val="ru-RU"/>
          </w:rPr>
          <w:t>4</w:t>
        </w:r>
        <w:r>
          <w:fldChar w:fldCharType="end"/>
        </w:r>
        <w:r w:rsidR="002C39D2" w:rsidRPr="002C39D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2C39D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    </w:t>
        </w:r>
        <w:r w:rsidR="002C39D2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  <w:p w:rsidR="00470713" w:rsidRDefault="004707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A9" w:rsidRDefault="008069A9" w:rsidP="00470713">
      <w:pPr>
        <w:spacing w:after="0" w:line="240" w:lineRule="auto"/>
      </w:pPr>
      <w:r>
        <w:separator/>
      </w:r>
    </w:p>
  </w:footnote>
  <w:footnote w:type="continuationSeparator" w:id="0">
    <w:p w:rsidR="008069A9" w:rsidRDefault="008069A9" w:rsidP="00470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BE"/>
    <w:rsid w:val="002C39D2"/>
    <w:rsid w:val="00470713"/>
    <w:rsid w:val="00645D21"/>
    <w:rsid w:val="008033BE"/>
    <w:rsid w:val="008069A9"/>
    <w:rsid w:val="008E16CC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D3803-573F-4B06-BD7D-AB1CA497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7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713"/>
  </w:style>
  <w:style w:type="paragraph" w:styleId="a5">
    <w:name w:val="footer"/>
    <w:basedOn w:val="a"/>
    <w:link w:val="a6"/>
    <w:uiPriority w:val="99"/>
    <w:unhideWhenUsed/>
    <w:rsid w:val="004707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117-2018-%D0%BF" TargetMode="External"/><Relationship Id="rId18" Type="http://schemas.openxmlformats.org/officeDocument/2006/relationships/hyperlink" Target="https://zakon.rada.gov.ua/laws/show/1117-2018-%D0%BF" TargetMode="External"/><Relationship Id="rId26" Type="http://schemas.openxmlformats.org/officeDocument/2006/relationships/hyperlink" Target="https://zakon.rada.gov.ua/laws/show/z0347-18" TargetMode="External"/><Relationship Id="rId21" Type="http://schemas.openxmlformats.org/officeDocument/2006/relationships/hyperlink" Target="https://zakon.rada.gov.ua/laws/show/z0347-18" TargetMode="External"/><Relationship Id="rId34" Type="http://schemas.openxmlformats.org/officeDocument/2006/relationships/hyperlink" Target="https://zakon.rada.gov.ua/laws/show/1117-2018-%D0%BF" TargetMode="External"/><Relationship Id="rId7" Type="http://schemas.openxmlformats.org/officeDocument/2006/relationships/hyperlink" Target="https://zakon.rada.gov.ua/laws/show/26-2019-%D0%BF" TargetMode="External"/><Relationship Id="rId12" Type="http://schemas.openxmlformats.org/officeDocument/2006/relationships/hyperlink" Target="https://zakon.rada.gov.ua/laws/show/z0348-18" TargetMode="External"/><Relationship Id="rId17" Type="http://schemas.openxmlformats.org/officeDocument/2006/relationships/hyperlink" Target="https://zakon.rada.gov.ua/laws/show/56/95-%D0%B2%D1%80" TargetMode="External"/><Relationship Id="rId25" Type="http://schemas.openxmlformats.org/officeDocument/2006/relationships/hyperlink" Target="https://zakon.rada.gov.ua/laws/show/z0347-18" TargetMode="External"/><Relationship Id="rId33" Type="http://schemas.openxmlformats.org/officeDocument/2006/relationships/hyperlink" Target="https://zakon.rada.gov.ua/laws/show/z0347-1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348-18" TargetMode="External"/><Relationship Id="rId20" Type="http://schemas.openxmlformats.org/officeDocument/2006/relationships/hyperlink" Target="https://zakon.rada.gov.ua/laws/show/z0347-18" TargetMode="External"/><Relationship Id="rId29" Type="http://schemas.openxmlformats.org/officeDocument/2006/relationships/hyperlink" Target="https://zakon.rada.gov.ua/laws/show/z0347-1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z0347-18" TargetMode="External"/><Relationship Id="rId24" Type="http://schemas.openxmlformats.org/officeDocument/2006/relationships/hyperlink" Target="https://zakon.rada.gov.ua/laws/show/z0347-18" TargetMode="External"/><Relationship Id="rId32" Type="http://schemas.openxmlformats.org/officeDocument/2006/relationships/hyperlink" Target="https://zakon.rada.gov.ua/laws/show/26-2019-%D0%BF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2168-19" TargetMode="External"/><Relationship Id="rId23" Type="http://schemas.openxmlformats.org/officeDocument/2006/relationships/hyperlink" Target="https://zakon.rada.gov.ua/laws/show/z0347-18" TargetMode="External"/><Relationship Id="rId28" Type="http://schemas.openxmlformats.org/officeDocument/2006/relationships/hyperlink" Target="https://zakon.rada.gov.ua/laws/show/1117-2018-%D0%BF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zakon.rada.gov.ua/laws/show/410-2018-%D0%BF" TargetMode="External"/><Relationship Id="rId19" Type="http://schemas.openxmlformats.org/officeDocument/2006/relationships/hyperlink" Target="https://zakon.rada.gov.ua/laws/show/z0347-18" TargetMode="External"/><Relationship Id="rId31" Type="http://schemas.openxmlformats.org/officeDocument/2006/relationships/hyperlink" Target="https://zakon.rada.gov.ua/laws/show/1117-2018-%D0%B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117-2018-%D0%BF" TargetMode="External"/><Relationship Id="rId14" Type="http://schemas.openxmlformats.org/officeDocument/2006/relationships/hyperlink" Target="https://zakon.rada.gov.ua/laws/show/2801-12" TargetMode="External"/><Relationship Id="rId22" Type="http://schemas.openxmlformats.org/officeDocument/2006/relationships/hyperlink" Target="https://zakon.rada.gov.ua/laws/show/z0347-18" TargetMode="External"/><Relationship Id="rId27" Type="http://schemas.openxmlformats.org/officeDocument/2006/relationships/hyperlink" Target="https://zakon.rada.gov.ua/laws/show/1117-2018-%D0%BF" TargetMode="External"/><Relationship Id="rId30" Type="http://schemas.openxmlformats.org/officeDocument/2006/relationships/hyperlink" Target="https://zakon.rada.gov.ua/laws/show/1117-2018-%D0%BF" TargetMode="External"/><Relationship Id="rId35" Type="http://schemas.openxmlformats.org/officeDocument/2006/relationships/hyperlink" Target="https://zakon.rada.gov.ua/laws/show/410-2018-%D0%BF" TargetMode="External"/><Relationship Id="rId8" Type="http://schemas.openxmlformats.org/officeDocument/2006/relationships/hyperlink" Target="https://zakon.rada.gov.ua/laws/show/2168-1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7069</Words>
  <Characters>4030</Characters>
  <Application>Microsoft Office Word</Application>
  <DocSecurity>0</DocSecurity>
  <Lines>33</Lines>
  <Paragraphs>22</Paragraphs>
  <ScaleCrop>false</ScaleCrop>
  <Company/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2019-02-21T00:04:00Z</dcterms:created>
  <dcterms:modified xsi:type="dcterms:W3CDTF">2019-02-21T00:35:00Z</dcterms:modified>
</cp:coreProperties>
</file>